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ADA0C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附件：</w:t>
      </w:r>
    </w:p>
    <w:p w14:paraId="1BC41166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正德职业技术学院区域安全防范重点汇总表</w:t>
      </w:r>
    </w:p>
    <w:p w14:paraId="6E8A91EC">
      <w:pPr>
        <w:jc w:val="right"/>
        <w:rPr>
          <w:rFonts w:ascii="黑体" w:hAnsi="黑体" w:eastAsia="黑体"/>
          <w:sz w:val="24"/>
          <w:szCs w:val="24"/>
        </w:rPr>
      </w:pPr>
      <w:r>
        <w:rPr>
          <w:rFonts w:hint="eastAsia" w:ascii="方正小标宋简体" w:eastAsia="方正小标宋简体"/>
          <w:sz w:val="24"/>
          <w:szCs w:val="24"/>
        </w:rPr>
        <w:t>202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6</w:t>
      </w:r>
      <w:r>
        <w:rPr>
          <w:rFonts w:hint="eastAsia" w:ascii="方正小标宋简体" w:eastAsia="方正小标宋简体"/>
          <w:sz w:val="24"/>
          <w:szCs w:val="24"/>
        </w:rPr>
        <w:t>年</w:t>
      </w:r>
      <w:r>
        <w:rPr>
          <w:rFonts w:hint="eastAsia" w:ascii="方正小标宋简体" w:eastAsia="方正小标宋简体"/>
          <w:sz w:val="24"/>
          <w:szCs w:val="24"/>
          <w:lang w:val="en-US" w:eastAsia="zh-CN"/>
        </w:rPr>
        <w:t>9</w:t>
      </w:r>
      <w:bookmarkStart w:id="0" w:name="_GoBack"/>
      <w:bookmarkEnd w:id="0"/>
      <w:r>
        <w:rPr>
          <w:rFonts w:hint="eastAsia" w:ascii="方正小标宋简体" w:eastAsia="方正小标宋简体"/>
          <w:sz w:val="24"/>
          <w:szCs w:val="24"/>
        </w:rPr>
        <w:t>月更新</w:t>
      </w:r>
    </w:p>
    <w:tbl>
      <w:tblPr>
        <w:tblStyle w:val="6"/>
        <w:tblW w:w="14695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9"/>
        <w:gridCol w:w="1309"/>
        <w:gridCol w:w="5103"/>
        <w:gridCol w:w="2977"/>
        <w:gridCol w:w="4057"/>
      </w:tblGrid>
      <w:tr w14:paraId="5EE541F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Align w:val="center"/>
          </w:tcPr>
          <w:p w14:paraId="66F8C5D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区域</w:t>
            </w:r>
          </w:p>
        </w:tc>
        <w:tc>
          <w:tcPr>
            <w:tcW w:w="1309" w:type="dxa"/>
            <w:vAlign w:val="center"/>
          </w:tcPr>
          <w:p w14:paraId="14267CDB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安全类别</w:t>
            </w:r>
          </w:p>
        </w:tc>
        <w:tc>
          <w:tcPr>
            <w:tcW w:w="5103" w:type="dxa"/>
            <w:vAlign w:val="center"/>
          </w:tcPr>
          <w:p w14:paraId="5DF9D259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重点防范的主要问题</w:t>
            </w:r>
          </w:p>
        </w:tc>
        <w:tc>
          <w:tcPr>
            <w:tcW w:w="2977" w:type="dxa"/>
            <w:vAlign w:val="center"/>
          </w:tcPr>
          <w:p w14:paraId="4CD3BF46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防范点位</w:t>
            </w:r>
          </w:p>
        </w:tc>
        <w:tc>
          <w:tcPr>
            <w:tcW w:w="4057" w:type="dxa"/>
            <w:vAlign w:val="center"/>
          </w:tcPr>
          <w:p w14:paraId="4A8F6E0D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防范要求</w:t>
            </w:r>
          </w:p>
        </w:tc>
      </w:tr>
      <w:tr w14:paraId="12CFCF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restart"/>
            <w:tcBorders>
              <w:top w:val="single" w:color="auto" w:sz="4" w:space="0"/>
            </w:tcBorders>
            <w:vAlign w:val="center"/>
          </w:tcPr>
          <w:p w14:paraId="043E8D2B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办公</w:t>
            </w:r>
          </w:p>
          <w:p w14:paraId="7850E87C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教学</w:t>
            </w:r>
          </w:p>
          <w:p w14:paraId="193B2001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区域</w:t>
            </w:r>
          </w:p>
        </w:tc>
        <w:tc>
          <w:tcPr>
            <w:tcW w:w="1309" w:type="dxa"/>
            <w:vMerge w:val="restart"/>
            <w:vAlign w:val="center"/>
          </w:tcPr>
          <w:p w14:paraId="0F9DF8D6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用电安全</w:t>
            </w:r>
          </w:p>
        </w:tc>
        <w:tc>
          <w:tcPr>
            <w:tcW w:w="5103" w:type="dxa"/>
            <w:vAlign w:val="center"/>
          </w:tcPr>
          <w:p w14:paraId="75526D93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长期带电场所室内杂乱、日常安全监管缺失</w:t>
            </w:r>
          </w:p>
        </w:tc>
        <w:tc>
          <w:tcPr>
            <w:tcW w:w="2977" w:type="dxa"/>
            <w:vAlign w:val="center"/>
          </w:tcPr>
          <w:p w14:paraId="4C7B65AF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6406、中心机房、监控服务器</w:t>
            </w:r>
          </w:p>
        </w:tc>
        <w:tc>
          <w:tcPr>
            <w:tcW w:w="4057" w:type="dxa"/>
            <w:vAlign w:val="center"/>
          </w:tcPr>
          <w:p w14:paraId="424FDFC3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做好易燃杂物清理，利用温控、监控做好散热与监管</w:t>
            </w:r>
          </w:p>
        </w:tc>
      </w:tr>
      <w:tr w14:paraId="6911E5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114A6B7C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2E65125B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72B212F3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服务器等自发热电器周边易燃杂物堆积</w:t>
            </w:r>
          </w:p>
        </w:tc>
        <w:tc>
          <w:tcPr>
            <w:tcW w:w="2977" w:type="dxa"/>
            <w:vAlign w:val="center"/>
          </w:tcPr>
          <w:p w14:paraId="61707227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各实验实训室服务器、监控交换机</w:t>
            </w:r>
          </w:p>
        </w:tc>
        <w:tc>
          <w:tcPr>
            <w:tcW w:w="4057" w:type="dxa"/>
            <w:vAlign w:val="center"/>
          </w:tcPr>
          <w:p w14:paraId="5762E08D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严禁周边存放杂物</w:t>
            </w:r>
          </w:p>
        </w:tc>
      </w:tr>
      <w:tr w14:paraId="711DDF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5E37BA5A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32E7D12D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1F435F25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强电线路排放杂乱、无用电保护；接线板老化、劣质；有杂物堆积</w:t>
            </w:r>
          </w:p>
        </w:tc>
        <w:tc>
          <w:tcPr>
            <w:tcW w:w="2977" w:type="dxa"/>
            <w:vAlign w:val="center"/>
          </w:tcPr>
          <w:p w14:paraId="4272CD60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各实验实训室</w:t>
            </w:r>
          </w:p>
        </w:tc>
        <w:tc>
          <w:tcPr>
            <w:tcW w:w="4057" w:type="dxa"/>
            <w:vAlign w:val="center"/>
          </w:tcPr>
          <w:p w14:paraId="27F01515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规范排线，杜绝使用存有安全隐患的接线装置</w:t>
            </w:r>
          </w:p>
        </w:tc>
      </w:tr>
      <w:tr w14:paraId="07566FB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284309D0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7AC0858A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41C3D95C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配电房易燃杂物堆积，闲人随意进出</w:t>
            </w:r>
          </w:p>
        </w:tc>
        <w:tc>
          <w:tcPr>
            <w:tcW w:w="2977" w:type="dxa"/>
            <w:vAlign w:val="center"/>
          </w:tcPr>
          <w:p w14:paraId="1FECE139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教学楼各配电间</w:t>
            </w:r>
          </w:p>
        </w:tc>
        <w:tc>
          <w:tcPr>
            <w:tcW w:w="4057" w:type="dxa"/>
            <w:vAlign w:val="center"/>
          </w:tcPr>
          <w:p w14:paraId="40AF6A98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重点部位，严格管控，清理杂物</w:t>
            </w:r>
          </w:p>
        </w:tc>
      </w:tr>
      <w:tr w14:paraId="57FB0A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4341570A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70A9C2B4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4C266EB6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电瓶室内违规充电、教学电池充电无保护措施</w:t>
            </w:r>
          </w:p>
        </w:tc>
        <w:tc>
          <w:tcPr>
            <w:tcW w:w="2977" w:type="dxa"/>
            <w:vAlign w:val="center"/>
          </w:tcPr>
          <w:p w14:paraId="7619532A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物业用房、6112充电区域</w:t>
            </w:r>
          </w:p>
        </w:tc>
        <w:tc>
          <w:tcPr>
            <w:tcW w:w="4057" w:type="dxa"/>
            <w:vAlign w:val="center"/>
          </w:tcPr>
          <w:p w14:paraId="20D76F5B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严禁电瓶车室内充电；规范教学电池充电防护措施</w:t>
            </w:r>
          </w:p>
        </w:tc>
      </w:tr>
      <w:tr w14:paraId="2D3973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07CF700A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673360A6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47AB6B47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违规使用大功率电器致使电控处不正常跳闸、发热、异常声响</w:t>
            </w:r>
          </w:p>
        </w:tc>
        <w:tc>
          <w:tcPr>
            <w:tcW w:w="2977" w:type="dxa"/>
            <w:vAlign w:val="center"/>
          </w:tcPr>
          <w:p w14:paraId="3275A27B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各楼层电控开关处</w:t>
            </w:r>
          </w:p>
        </w:tc>
        <w:tc>
          <w:tcPr>
            <w:tcW w:w="4057" w:type="dxa"/>
            <w:vAlign w:val="center"/>
          </w:tcPr>
          <w:p w14:paraId="1C1DD794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严禁使用自带加热取暖设备，办公室电水壶不超过2台</w:t>
            </w:r>
          </w:p>
        </w:tc>
      </w:tr>
      <w:tr w14:paraId="3388CA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03323D15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6111A3E0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财产安全</w:t>
            </w:r>
          </w:p>
        </w:tc>
        <w:tc>
          <w:tcPr>
            <w:tcW w:w="5103" w:type="dxa"/>
            <w:vAlign w:val="center"/>
          </w:tcPr>
          <w:p w14:paraId="4FBEA339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室内存放大量现金与个人高档物品</w:t>
            </w:r>
          </w:p>
        </w:tc>
        <w:tc>
          <w:tcPr>
            <w:tcW w:w="2977" w:type="dxa"/>
            <w:vMerge w:val="restart"/>
            <w:vAlign w:val="center"/>
          </w:tcPr>
          <w:p w14:paraId="03396913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各场所</w:t>
            </w:r>
          </w:p>
        </w:tc>
        <w:tc>
          <w:tcPr>
            <w:tcW w:w="4057" w:type="dxa"/>
            <w:vMerge w:val="restart"/>
            <w:vAlign w:val="center"/>
          </w:tcPr>
          <w:p w14:paraId="53A2DCCD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利用监控、防盗门窗等防护措施加护</w:t>
            </w:r>
          </w:p>
        </w:tc>
      </w:tr>
      <w:tr w14:paraId="6805BC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7777B0D7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07C6D2B1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5111CFE6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门窗等防盗设施损坏，无人场所未及时关窗、锁门</w:t>
            </w:r>
          </w:p>
        </w:tc>
        <w:tc>
          <w:tcPr>
            <w:tcW w:w="2977" w:type="dxa"/>
            <w:vMerge w:val="continue"/>
            <w:vAlign w:val="center"/>
          </w:tcPr>
          <w:p w14:paraId="2A3E6197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4057" w:type="dxa"/>
            <w:vMerge w:val="continue"/>
            <w:vAlign w:val="center"/>
          </w:tcPr>
          <w:p w14:paraId="395505BF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</w:p>
        </w:tc>
      </w:tr>
      <w:tr w14:paraId="1EA4A5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0B77F478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7C2B7C19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66E4992D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贵重教学设备未加装防盗保护设施</w:t>
            </w:r>
          </w:p>
        </w:tc>
        <w:tc>
          <w:tcPr>
            <w:tcW w:w="2977" w:type="dxa"/>
            <w:vMerge w:val="continue"/>
            <w:vAlign w:val="center"/>
          </w:tcPr>
          <w:p w14:paraId="608D117E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</w:p>
        </w:tc>
        <w:tc>
          <w:tcPr>
            <w:tcW w:w="4057" w:type="dxa"/>
            <w:vMerge w:val="continue"/>
            <w:vAlign w:val="center"/>
          </w:tcPr>
          <w:p w14:paraId="04EB2421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</w:p>
        </w:tc>
      </w:tr>
      <w:tr w14:paraId="43F7D7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7F6F09E1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618E6DE9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高空物安全</w:t>
            </w:r>
          </w:p>
        </w:tc>
        <w:tc>
          <w:tcPr>
            <w:tcW w:w="5103" w:type="dxa"/>
            <w:vAlign w:val="center"/>
          </w:tcPr>
          <w:p w14:paraId="49433371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室内电扇、投影机等高空物损坏、加固不牢</w:t>
            </w:r>
          </w:p>
        </w:tc>
        <w:tc>
          <w:tcPr>
            <w:tcW w:w="2977" w:type="dxa"/>
            <w:vAlign w:val="center"/>
          </w:tcPr>
          <w:p w14:paraId="3BA7944C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各场所</w:t>
            </w:r>
          </w:p>
        </w:tc>
        <w:tc>
          <w:tcPr>
            <w:tcW w:w="4057" w:type="dxa"/>
            <w:vAlign w:val="center"/>
          </w:tcPr>
          <w:p w14:paraId="19F5A28C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定期巡检，及时加固</w:t>
            </w:r>
          </w:p>
        </w:tc>
      </w:tr>
      <w:tr w14:paraId="02C193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2917246D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7A73F9FD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危化品安全</w:t>
            </w:r>
          </w:p>
        </w:tc>
        <w:tc>
          <w:tcPr>
            <w:tcW w:w="5103" w:type="dxa"/>
            <w:vAlign w:val="center"/>
          </w:tcPr>
          <w:p w14:paraId="5100ADA5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违规私自存放、使用危化品、涉危品或未按规定要求存放使用</w:t>
            </w:r>
          </w:p>
        </w:tc>
        <w:tc>
          <w:tcPr>
            <w:tcW w:w="2977" w:type="dxa"/>
            <w:vAlign w:val="center"/>
          </w:tcPr>
          <w:p w14:paraId="29E6245B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各场所</w:t>
            </w:r>
          </w:p>
        </w:tc>
        <w:tc>
          <w:tcPr>
            <w:tcW w:w="4057" w:type="dxa"/>
            <w:vAlign w:val="center"/>
          </w:tcPr>
          <w:p w14:paraId="307E1B7B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落实报备制度，严格管控</w:t>
            </w:r>
          </w:p>
        </w:tc>
      </w:tr>
      <w:tr w14:paraId="1C854C8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7A1C89D0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3B21B2E3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消防安全</w:t>
            </w:r>
          </w:p>
        </w:tc>
        <w:tc>
          <w:tcPr>
            <w:tcW w:w="5103" w:type="dxa"/>
            <w:vAlign w:val="center"/>
          </w:tcPr>
          <w:p w14:paraId="46B5C4FE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未落实消防安全责任人、日常安全巡检或巡检台账记录不规范</w:t>
            </w:r>
          </w:p>
        </w:tc>
        <w:tc>
          <w:tcPr>
            <w:tcW w:w="2977" w:type="dxa"/>
            <w:vMerge w:val="restart"/>
            <w:vAlign w:val="center"/>
          </w:tcPr>
          <w:p w14:paraId="2FA93CAA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各场所</w:t>
            </w:r>
          </w:p>
        </w:tc>
        <w:tc>
          <w:tcPr>
            <w:tcW w:w="4057" w:type="dxa"/>
            <w:vMerge w:val="restart"/>
            <w:vAlign w:val="center"/>
          </w:tcPr>
          <w:p w14:paraId="048CE8AA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规范巡查记录（至少1个月1次），及时发现维修清理，保证各类消防设施与应急处置措施处于完好状态</w:t>
            </w:r>
          </w:p>
        </w:tc>
      </w:tr>
      <w:tr w14:paraId="234025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22247767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0B0C1CE1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5FE68D2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消防设施（灭火器、室内消火栓、应急照明灯、疏散指示灯）损坏，疏散通道被杂物堆积不畅通</w:t>
            </w:r>
          </w:p>
        </w:tc>
        <w:tc>
          <w:tcPr>
            <w:tcW w:w="2977" w:type="dxa"/>
            <w:vMerge w:val="continue"/>
            <w:vAlign w:val="center"/>
          </w:tcPr>
          <w:p w14:paraId="258DA6B5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4057" w:type="dxa"/>
            <w:vMerge w:val="continue"/>
            <w:vAlign w:val="center"/>
          </w:tcPr>
          <w:p w14:paraId="50171B1A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</w:p>
        </w:tc>
      </w:tr>
      <w:tr w14:paraId="4DE617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249" w:type="dxa"/>
            <w:vMerge w:val="continue"/>
          </w:tcPr>
          <w:p w14:paraId="12CC4DD1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70D94BB8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3EE1AC66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应急备用钥匙不全、不熟悉</w:t>
            </w:r>
          </w:p>
        </w:tc>
        <w:tc>
          <w:tcPr>
            <w:tcW w:w="2977" w:type="dxa"/>
            <w:vMerge w:val="continue"/>
            <w:vAlign w:val="center"/>
          </w:tcPr>
          <w:p w14:paraId="79F32026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4057" w:type="dxa"/>
            <w:vMerge w:val="continue"/>
            <w:vAlign w:val="center"/>
          </w:tcPr>
          <w:p w14:paraId="5664C89A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</w:p>
        </w:tc>
      </w:tr>
      <w:tr w14:paraId="220B1B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  <w:tcBorders>
              <w:bottom w:val="single" w:color="auto" w:sz="4" w:space="0"/>
            </w:tcBorders>
          </w:tcPr>
          <w:p w14:paraId="7F93ADC6">
            <w:pPr>
              <w:spacing w:line="340" w:lineRule="exact"/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31F47652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明火安全</w:t>
            </w:r>
          </w:p>
        </w:tc>
        <w:tc>
          <w:tcPr>
            <w:tcW w:w="5103" w:type="dxa"/>
            <w:vAlign w:val="center"/>
          </w:tcPr>
          <w:p w14:paraId="5BC9FA0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室内明火</w:t>
            </w:r>
            <w:r>
              <w:rPr>
                <w:rFonts w:hint="eastAsia" w:ascii="仿宋_GB2312" w:hAnsi="宋体" w:eastAsia="仿宋_GB2312" w:cs="宋体"/>
                <w:szCs w:val="21"/>
              </w:rPr>
              <w:t>易发火情</w:t>
            </w:r>
          </w:p>
        </w:tc>
        <w:tc>
          <w:tcPr>
            <w:tcW w:w="2977" w:type="dxa"/>
            <w:vAlign w:val="center"/>
          </w:tcPr>
          <w:p w14:paraId="3CF6DB5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图书馆、档案室、文印室</w:t>
            </w:r>
          </w:p>
        </w:tc>
        <w:tc>
          <w:tcPr>
            <w:tcW w:w="4057" w:type="dxa"/>
            <w:vAlign w:val="center"/>
          </w:tcPr>
          <w:p w14:paraId="1B4E7E42">
            <w:pPr>
              <w:spacing w:line="340" w:lineRule="exact"/>
              <w:rPr>
                <w:rFonts w:ascii="仿宋_GB2312" w:hAnsi="仿宋" w:eastAsia="仿宋_GB2312"/>
                <w:szCs w:val="21"/>
              </w:rPr>
            </w:pPr>
            <w:r>
              <w:rPr>
                <w:rFonts w:hint="eastAsia" w:ascii="仿宋_GB2312" w:hAnsi="仿宋" w:eastAsia="仿宋_GB2312"/>
                <w:szCs w:val="21"/>
              </w:rPr>
              <w:t>严禁各类明火</w:t>
            </w:r>
          </w:p>
        </w:tc>
      </w:tr>
      <w:tr w14:paraId="62155B2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249" w:type="dxa"/>
            <w:vMerge w:val="restart"/>
            <w:tcBorders>
              <w:top w:val="single" w:color="auto" w:sz="4" w:space="0"/>
            </w:tcBorders>
            <w:vAlign w:val="center"/>
          </w:tcPr>
          <w:p w14:paraId="0FBF6648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校园</w:t>
            </w:r>
          </w:p>
          <w:p w14:paraId="57E1053A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公共</w:t>
            </w:r>
          </w:p>
          <w:p w14:paraId="594EDA22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区域</w:t>
            </w:r>
          </w:p>
        </w:tc>
        <w:tc>
          <w:tcPr>
            <w:tcW w:w="1309" w:type="dxa"/>
            <w:vAlign w:val="center"/>
          </w:tcPr>
          <w:p w14:paraId="5CA17233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明火安全</w:t>
            </w:r>
          </w:p>
        </w:tc>
        <w:tc>
          <w:tcPr>
            <w:tcW w:w="5103" w:type="dxa"/>
            <w:vAlign w:val="center"/>
          </w:tcPr>
          <w:p w14:paraId="1EF37E46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烟头乱扔引发火情</w:t>
            </w:r>
          </w:p>
        </w:tc>
        <w:tc>
          <w:tcPr>
            <w:tcW w:w="2977" w:type="dxa"/>
            <w:vAlign w:val="center"/>
          </w:tcPr>
          <w:p w14:paraId="4BC8D92E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草坪、垃圾房、垃圾筒</w:t>
            </w:r>
          </w:p>
        </w:tc>
        <w:tc>
          <w:tcPr>
            <w:tcW w:w="4057" w:type="dxa"/>
            <w:vAlign w:val="center"/>
          </w:tcPr>
          <w:p w14:paraId="47EB231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无烟管控、加强巡查、及时处置</w:t>
            </w:r>
          </w:p>
        </w:tc>
      </w:tr>
      <w:tr w14:paraId="3386F8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022A10B9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42AD0914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安全警示</w:t>
            </w:r>
          </w:p>
        </w:tc>
        <w:tc>
          <w:tcPr>
            <w:tcW w:w="5103" w:type="dxa"/>
            <w:vAlign w:val="center"/>
          </w:tcPr>
          <w:p w14:paraId="5B8F8E5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警示标牌不规范，未做到安全提示责任</w:t>
            </w:r>
          </w:p>
        </w:tc>
        <w:tc>
          <w:tcPr>
            <w:tcW w:w="2977" w:type="dxa"/>
            <w:vAlign w:val="center"/>
          </w:tcPr>
          <w:p w14:paraId="283E08F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围墙、高空处、围栏、钢琴湖、运动场所</w:t>
            </w:r>
          </w:p>
        </w:tc>
        <w:tc>
          <w:tcPr>
            <w:tcW w:w="4057" w:type="dxa"/>
            <w:vAlign w:val="center"/>
          </w:tcPr>
          <w:p w14:paraId="07E1F0B9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以防人身财产安全为内容设置明显警示提示</w:t>
            </w:r>
          </w:p>
        </w:tc>
      </w:tr>
      <w:tr w14:paraId="43BBEF0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1249" w:type="dxa"/>
            <w:vMerge w:val="continue"/>
          </w:tcPr>
          <w:p w14:paraId="2C411D2D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1AFB54EB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高空物安全</w:t>
            </w:r>
          </w:p>
        </w:tc>
        <w:tc>
          <w:tcPr>
            <w:tcW w:w="5103" w:type="dxa"/>
            <w:vAlign w:val="center"/>
          </w:tcPr>
          <w:p w14:paraId="34E0A1E9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无人机室外实训操作不当易发生人身财物安全</w:t>
            </w:r>
          </w:p>
        </w:tc>
        <w:tc>
          <w:tcPr>
            <w:tcW w:w="2977" w:type="dxa"/>
            <w:vAlign w:val="center"/>
          </w:tcPr>
          <w:p w14:paraId="610EE04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运动馆南实训操场</w:t>
            </w:r>
          </w:p>
        </w:tc>
        <w:tc>
          <w:tcPr>
            <w:tcW w:w="4057" w:type="dxa"/>
            <w:vAlign w:val="center"/>
          </w:tcPr>
          <w:p w14:paraId="33F3A871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加强安全教育，限区、限高，规范操作</w:t>
            </w:r>
          </w:p>
        </w:tc>
      </w:tr>
      <w:tr w14:paraId="308C8D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249" w:type="dxa"/>
            <w:vMerge w:val="continue"/>
          </w:tcPr>
          <w:p w14:paraId="30D8F77F">
            <w:pPr>
              <w:rPr>
                <w:szCs w:val="21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10833FB7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交通安全</w:t>
            </w:r>
          </w:p>
        </w:tc>
        <w:tc>
          <w:tcPr>
            <w:tcW w:w="5103" w:type="dxa"/>
            <w:vAlign w:val="center"/>
          </w:tcPr>
          <w:p w14:paraId="3111147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违规高速行驶，不执行限行、限速、限鸣措施</w:t>
            </w:r>
          </w:p>
        </w:tc>
        <w:tc>
          <w:tcPr>
            <w:tcW w:w="2977" w:type="dxa"/>
            <w:vAlign w:val="center"/>
          </w:tcPr>
          <w:p w14:paraId="2BE15D1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教学楼1号楼路口</w:t>
            </w:r>
          </w:p>
        </w:tc>
        <w:tc>
          <w:tcPr>
            <w:tcW w:w="4057" w:type="dxa"/>
            <w:vMerge w:val="restart"/>
            <w:vAlign w:val="center"/>
          </w:tcPr>
          <w:p w14:paraId="397697D1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专人疏导，加强巡查，违规取消校园权限</w:t>
            </w:r>
          </w:p>
        </w:tc>
      </w:tr>
      <w:tr w14:paraId="76D971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249" w:type="dxa"/>
            <w:vMerge w:val="continue"/>
          </w:tcPr>
          <w:p w14:paraId="1B2210EC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6CD60A26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26A9D0A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车窗不关，车内财物受损</w:t>
            </w:r>
          </w:p>
        </w:tc>
        <w:tc>
          <w:tcPr>
            <w:tcW w:w="2977" w:type="dxa"/>
            <w:vAlign w:val="center"/>
          </w:tcPr>
          <w:p w14:paraId="373BC1F4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停车场区域</w:t>
            </w:r>
          </w:p>
        </w:tc>
        <w:tc>
          <w:tcPr>
            <w:tcW w:w="4057" w:type="dxa"/>
            <w:vMerge w:val="continue"/>
            <w:vAlign w:val="center"/>
          </w:tcPr>
          <w:p w14:paraId="0ED5EB88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0C008F4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49" w:type="dxa"/>
            <w:vMerge w:val="continue"/>
          </w:tcPr>
          <w:p w14:paraId="35F51634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609FAF80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51EBB7B7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随意停放，占用通道、车道或应急疏散通道</w:t>
            </w:r>
          </w:p>
        </w:tc>
        <w:tc>
          <w:tcPr>
            <w:tcW w:w="2977" w:type="dxa"/>
            <w:vAlign w:val="center"/>
          </w:tcPr>
          <w:p w14:paraId="416AEC0B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校园各类通道</w:t>
            </w:r>
          </w:p>
        </w:tc>
        <w:tc>
          <w:tcPr>
            <w:tcW w:w="4057" w:type="dxa"/>
            <w:vMerge w:val="continue"/>
            <w:vAlign w:val="center"/>
          </w:tcPr>
          <w:p w14:paraId="35AE7DBE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6427076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249" w:type="dxa"/>
            <w:vMerge w:val="continue"/>
          </w:tcPr>
          <w:p w14:paraId="6A74C3DD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401FB1A7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公共设施</w:t>
            </w:r>
          </w:p>
          <w:p w14:paraId="18E623DB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安全</w:t>
            </w:r>
          </w:p>
        </w:tc>
        <w:tc>
          <w:tcPr>
            <w:tcW w:w="5103" w:type="dxa"/>
            <w:vAlign w:val="center"/>
          </w:tcPr>
          <w:p w14:paraId="495994C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围墙、围栏、室外运动健身器械、室外空调主机损坏易引发师生人身安全意外事故</w:t>
            </w:r>
          </w:p>
        </w:tc>
        <w:tc>
          <w:tcPr>
            <w:tcW w:w="2977" w:type="dxa"/>
            <w:vAlign w:val="center"/>
          </w:tcPr>
          <w:p w14:paraId="78E98E6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上述问题部位</w:t>
            </w:r>
          </w:p>
        </w:tc>
        <w:tc>
          <w:tcPr>
            <w:tcW w:w="4057" w:type="dxa"/>
            <w:vAlign w:val="center"/>
          </w:tcPr>
          <w:p w14:paraId="6D523AA1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及时发现、上报与整改</w:t>
            </w:r>
          </w:p>
        </w:tc>
      </w:tr>
      <w:tr w14:paraId="5137819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0B5BF4F7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07AC1E07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治安安全</w:t>
            </w:r>
          </w:p>
        </w:tc>
        <w:tc>
          <w:tcPr>
            <w:tcW w:w="5103" w:type="dxa"/>
            <w:vAlign w:val="center"/>
          </w:tcPr>
          <w:p w14:paraId="5A421B14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社会闲杂人员随意进出校园易发各类治安案件</w:t>
            </w:r>
          </w:p>
        </w:tc>
        <w:tc>
          <w:tcPr>
            <w:tcW w:w="2977" w:type="dxa"/>
            <w:vAlign w:val="center"/>
          </w:tcPr>
          <w:p w14:paraId="74DF983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各门岗</w:t>
            </w:r>
          </w:p>
        </w:tc>
        <w:tc>
          <w:tcPr>
            <w:tcW w:w="4057" w:type="dxa"/>
            <w:vAlign w:val="center"/>
          </w:tcPr>
          <w:p w14:paraId="6C84AA5B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严格执行进校管控要求（智能识别进出校）</w:t>
            </w:r>
          </w:p>
        </w:tc>
      </w:tr>
      <w:tr w14:paraId="64C534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249" w:type="dxa"/>
            <w:vMerge w:val="continue"/>
          </w:tcPr>
          <w:p w14:paraId="4B45A693">
            <w:pPr>
              <w:rPr>
                <w:szCs w:val="21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1F6D9AD6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其它安全</w:t>
            </w:r>
          </w:p>
        </w:tc>
        <w:tc>
          <w:tcPr>
            <w:tcW w:w="5103" w:type="dxa"/>
            <w:vAlign w:val="center"/>
          </w:tcPr>
          <w:p w14:paraId="5749BBEA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违规广告、宣传横幅与不当标语</w:t>
            </w:r>
          </w:p>
        </w:tc>
        <w:tc>
          <w:tcPr>
            <w:tcW w:w="2977" w:type="dxa"/>
            <w:vAlign w:val="center"/>
          </w:tcPr>
          <w:p w14:paraId="3FC93B21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室外运动场所、公共卫生间、学生公寓区</w:t>
            </w:r>
          </w:p>
        </w:tc>
        <w:tc>
          <w:tcPr>
            <w:tcW w:w="4057" w:type="dxa"/>
            <w:vMerge w:val="restart"/>
            <w:vAlign w:val="center"/>
          </w:tcPr>
          <w:p w14:paraId="10DDDB5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强化管控、规范管理</w:t>
            </w:r>
          </w:p>
        </w:tc>
      </w:tr>
      <w:tr w14:paraId="1F4511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1249" w:type="dxa"/>
            <w:vMerge w:val="continue"/>
          </w:tcPr>
          <w:p w14:paraId="6AE9E8D9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</w:tcPr>
          <w:p w14:paraId="6A08EF0A">
            <w:pPr>
              <w:spacing w:line="340" w:lineRule="exact"/>
              <w:rPr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66E6B46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复印、传播违法宣传制品</w:t>
            </w:r>
          </w:p>
        </w:tc>
        <w:tc>
          <w:tcPr>
            <w:tcW w:w="2977" w:type="dxa"/>
            <w:vAlign w:val="center"/>
          </w:tcPr>
          <w:p w14:paraId="2174A98A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校内复印门店（2家）</w:t>
            </w:r>
          </w:p>
        </w:tc>
        <w:tc>
          <w:tcPr>
            <w:tcW w:w="4057" w:type="dxa"/>
            <w:vMerge w:val="continue"/>
            <w:vAlign w:val="center"/>
          </w:tcPr>
          <w:p w14:paraId="2A8BC66A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41E0724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  <w:jc w:val="center"/>
        </w:trPr>
        <w:tc>
          <w:tcPr>
            <w:tcW w:w="1249" w:type="dxa"/>
            <w:vMerge w:val="continue"/>
          </w:tcPr>
          <w:p w14:paraId="2A0879C6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</w:tcPr>
          <w:p w14:paraId="04DA2462">
            <w:pPr>
              <w:spacing w:line="340" w:lineRule="exact"/>
              <w:rPr>
                <w:szCs w:val="21"/>
              </w:rPr>
            </w:pPr>
          </w:p>
        </w:tc>
        <w:tc>
          <w:tcPr>
            <w:tcW w:w="5103" w:type="dxa"/>
            <w:tcBorders>
              <w:bottom w:val="single" w:color="auto" w:sz="4" w:space="0"/>
            </w:tcBorders>
            <w:vAlign w:val="center"/>
          </w:tcPr>
          <w:p w14:paraId="2D886356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违规摆摊设点，兜售伪劣不法商品</w:t>
            </w:r>
          </w:p>
        </w:tc>
        <w:tc>
          <w:tcPr>
            <w:tcW w:w="2977" w:type="dxa"/>
            <w:tcBorders>
              <w:bottom w:val="single" w:color="auto" w:sz="4" w:space="0"/>
            </w:tcBorders>
            <w:vAlign w:val="center"/>
          </w:tcPr>
          <w:p w14:paraId="720683B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步行道、学生公寓区门口</w:t>
            </w:r>
          </w:p>
        </w:tc>
        <w:tc>
          <w:tcPr>
            <w:tcW w:w="4057" w:type="dxa"/>
            <w:vMerge w:val="continue"/>
            <w:tcBorders>
              <w:bottom w:val="single" w:color="auto" w:sz="4" w:space="0"/>
            </w:tcBorders>
            <w:vAlign w:val="center"/>
          </w:tcPr>
          <w:p w14:paraId="0B1DC3A4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6D2BB1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  <w:jc w:val="center"/>
        </w:trPr>
        <w:tc>
          <w:tcPr>
            <w:tcW w:w="1249" w:type="dxa"/>
            <w:vMerge w:val="continue"/>
          </w:tcPr>
          <w:p w14:paraId="6122F0FF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</w:tcPr>
          <w:p w14:paraId="0C31914B">
            <w:pPr>
              <w:spacing w:line="340" w:lineRule="exact"/>
              <w:rPr>
                <w:szCs w:val="21"/>
              </w:rPr>
            </w:pPr>
          </w:p>
        </w:tc>
        <w:tc>
          <w:tcPr>
            <w:tcW w:w="5103" w:type="dxa"/>
            <w:tcBorders>
              <w:top w:val="single" w:color="auto" w:sz="4" w:space="0"/>
            </w:tcBorders>
            <w:vAlign w:val="center"/>
          </w:tcPr>
          <w:p w14:paraId="7F14FEE0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电瓶车违规进入校园，存在充电易爆燃隐患</w:t>
            </w:r>
          </w:p>
        </w:tc>
        <w:tc>
          <w:tcPr>
            <w:tcW w:w="2977" w:type="dxa"/>
            <w:tcBorders>
              <w:top w:val="single" w:color="auto" w:sz="4" w:space="0"/>
            </w:tcBorders>
            <w:vAlign w:val="center"/>
          </w:tcPr>
          <w:p w14:paraId="301D053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各门岗</w:t>
            </w:r>
          </w:p>
        </w:tc>
        <w:tc>
          <w:tcPr>
            <w:tcW w:w="4057" w:type="dxa"/>
            <w:tcBorders>
              <w:top w:val="single" w:color="auto" w:sz="4" w:space="0"/>
            </w:tcBorders>
            <w:vAlign w:val="center"/>
          </w:tcPr>
          <w:p w14:paraId="4D853996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严禁电瓶车进入校园</w:t>
            </w:r>
          </w:p>
        </w:tc>
      </w:tr>
      <w:tr w14:paraId="2A4C1C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49" w:type="dxa"/>
            <w:vMerge w:val="restart"/>
            <w:vAlign w:val="center"/>
          </w:tcPr>
          <w:p w14:paraId="443955D3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食堂</w:t>
            </w:r>
          </w:p>
          <w:p w14:paraId="468A524F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门面房</w:t>
            </w:r>
          </w:p>
          <w:p w14:paraId="6DD56C30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区域</w:t>
            </w:r>
          </w:p>
        </w:tc>
        <w:tc>
          <w:tcPr>
            <w:tcW w:w="1309" w:type="dxa"/>
            <w:vMerge w:val="restart"/>
            <w:vAlign w:val="center"/>
          </w:tcPr>
          <w:p w14:paraId="39D07DF0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用电安全</w:t>
            </w:r>
          </w:p>
        </w:tc>
        <w:tc>
          <w:tcPr>
            <w:tcW w:w="5103" w:type="dxa"/>
            <w:vAlign w:val="center"/>
          </w:tcPr>
          <w:p w14:paraId="157F80B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电线杂乱，接线线路不规范</w:t>
            </w:r>
          </w:p>
        </w:tc>
        <w:tc>
          <w:tcPr>
            <w:tcW w:w="2977" w:type="dxa"/>
            <w:vAlign w:val="center"/>
          </w:tcPr>
          <w:p w14:paraId="2775768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各场所</w:t>
            </w:r>
          </w:p>
        </w:tc>
        <w:tc>
          <w:tcPr>
            <w:tcW w:w="4057" w:type="dxa"/>
            <w:vMerge w:val="restart"/>
            <w:vAlign w:val="center"/>
          </w:tcPr>
          <w:p w14:paraId="47009915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规范用电管理，规范电器使用管理，加强安全巡查，杜绝杂物堆积、长期带电加工与室内违规充电</w:t>
            </w:r>
          </w:p>
        </w:tc>
      </w:tr>
      <w:tr w14:paraId="77E177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249" w:type="dxa"/>
            <w:vMerge w:val="continue"/>
          </w:tcPr>
          <w:p w14:paraId="31A7F8BD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34336178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25DDC779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违规使用大功率电器（加工、冰柜），用电负载过重</w:t>
            </w:r>
          </w:p>
        </w:tc>
        <w:tc>
          <w:tcPr>
            <w:tcW w:w="2977" w:type="dxa"/>
            <w:vAlign w:val="center"/>
          </w:tcPr>
          <w:p w14:paraId="7A042E1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电控处</w:t>
            </w:r>
          </w:p>
        </w:tc>
        <w:tc>
          <w:tcPr>
            <w:tcW w:w="4057" w:type="dxa"/>
            <w:vMerge w:val="continue"/>
            <w:vAlign w:val="center"/>
          </w:tcPr>
          <w:p w14:paraId="6C75641A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137A87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49" w:type="dxa"/>
            <w:vMerge w:val="continue"/>
          </w:tcPr>
          <w:p w14:paraId="294B1876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79D944FA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0C402737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发热电器周边杂物全堆积影响散热</w:t>
            </w:r>
          </w:p>
        </w:tc>
        <w:tc>
          <w:tcPr>
            <w:tcW w:w="2977" w:type="dxa"/>
            <w:vAlign w:val="center"/>
          </w:tcPr>
          <w:p w14:paraId="30372E0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冰柜存放处</w:t>
            </w:r>
          </w:p>
        </w:tc>
        <w:tc>
          <w:tcPr>
            <w:tcW w:w="4057" w:type="dxa"/>
            <w:vMerge w:val="continue"/>
            <w:vAlign w:val="center"/>
          </w:tcPr>
          <w:p w14:paraId="584E1EC9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0C9CD8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49" w:type="dxa"/>
            <w:vMerge w:val="continue"/>
          </w:tcPr>
          <w:p w14:paraId="2319AC3A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4FD23AF1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1C05097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通电加工食品长期不断电（煎饼加工电器）</w:t>
            </w:r>
          </w:p>
        </w:tc>
        <w:tc>
          <w:tcPr>
            <w:tcW w:w="2977" w:type="dxa"/>
            <w:vAlign w:val="center"/>
          </w:tcPr>
          <w:p w14:paraId="12346F6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各美食点</w:t>
            </w:r>
          </w:p>
        </w:tc>
        <w:tc>
          <w:tcPr>
            <w:tcW w:w="4057" w:type="dxa"/>
            <w:vMerge w:val="continue"/>
            <w:vAlign w:val="center"/>
          </w:tcPr>
          <w:p w14:paraId="798CE382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510EFE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249" w:type="dxa"/>
            <w:vMerge w:val="continue"/>
          </w:tcPr>
          <w:p w14:paraId="6DB02985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41164866">
            <w:pPr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1C72535B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保洁、绿化</w:t>
            </w:r>
            <w:r>
              <w:rPr>
                <w:rFonts w:hint="eastAsia" w:ascii="仿宋_GB2312" w:eastAsia="仿宋_GB2312"/>
                <w:szCs w:val="21"/>
              </w:rPr>
              <w:t>电瓶车充电</w:t>
            </w:r>
          </w:p>
        </w:tc>
        <w:tc>
          <w:tcPr>
            <w:tcW w:w="2977" w:type="dxa"/>
            <w:vAlign w:val="center"/>
          </w:tcPr>
          <w:p w14:paraId="1E31E224">
            <w:pPr>
              <w:spacing w:line="340" w:lineRule="exact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西干道平房、各公寓站</w:t>
            </w:r>
          </w:p>
        </w:tc>
        <w:tc>
          <w:tcPr>
            <w:tcW w:w="4057" w:type="dxa"/>
            <w:vMerge w:val="continue"/>
            <w:vAlign w:val="center"/>
          </w:tcPr>
          <w:p w14:paraId="3B41ED79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630E9C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249" w:type="dxa"/>
            <w:vMerge w:val="continue"/>
          </w:tcPr>
          <w:p w14:paraId="359E31B1">
            <w:pPr>
              <w:rPr>
                <w:szCs w:val="21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2F4C36A4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明火安全</w:t>
            </w:r>
          </w:p>
        </w:tc>
        <w:tc>
          <w:tcPr>
            <w:tcW w:w="5103" w:type="dxa"/>
            <w:vAlign w:val="center"/>
          </w:tcPr>
          <w:p w14:paraId="5838C2B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明火操作不审批、不规范</w:t>
            </w:r>
          </w:p>
        </w:tc>
        <w:tc>
          <w:tcPr>
            <w:tcW w:w="2977" w:type="dxa"/>
            <w:vMerge w:val="restart"/>
            <w:vAlign w:val="center"/>
          </w:tcPr>
          <w:p w14:paraId="5CCFC87B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各明火操作处</w:t>
            </w:r>
          </w:p>
        </w:tc>
        <w:tc>
          <w:tcPr>
            <w:tcW w:w="4057" w:type="dxa"/>
            <w:vMerge w:val="restart"/>
            <w:vAlign w:val="center"/>
          </w:tcPr>
          <w:p w14:paraId="588596D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定期清理，规范审批，建立应急防护设施，开展应急安全培训</w:t>
            </w:r>
          </w:p>
        </w:tc>
      </w:tr>
      <w:tr w14:paraId="48C327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249" w:type="dxa"/>
            <w:vMerge w:val="continue"/>
          </w:tcPr>
          <w:p w14:paraId="5FAB8162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1CC3E105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6BEF527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烟道清洗不及时，油污堆积</w:t>
            </w:r>
          </w:p>
        </w:tc>
        <w:tc>
          <w:tcPr>
            <w:tcW w:w="2977" w:type="dxa"/>
            <w:vMerge w:val="continue"/>
            <w:vAlign w:val="center"/>
          </w:tcPr>
          <w:p w14:paraId="2830C5BD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4057" w:type="dxa"/>
            <w:vMerge w:val="continue"/>
            <w:vAlign w:val="center"/>
          </w:tcPr>
          <w:p w14:paraId="205002E6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36105D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49" w:type="dxa"/>
            <w:vMerge w:val="continue"/>
          </w:tcPr>
          <w:p w14:paraId="78619985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16407B0D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3625EDD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前台明火应急处置措施不健全</w:t>
            </w:r>
          </w:p>
        </w:tc>
        <w:tc>
          <w:tcPr>
            <w:tcW w:w="2977" w:type="dxa"/>
            <w:vMerge w:val="continue"/>
            <w:vAlign w:val="center"/>
          </w:tcPr>
          <w:p w14:paraId="08A5C315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  <w:tc>
          <w:tcPr>
            <w:tcW w:w="4057" w:type="dxa"/>
            <w:vMerge w:val="continue"/>
            <w:vAlign w:val="center"/>
          </w:tcPr>
          <w:p w14:paraId="2CBA9AD7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3313A8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rPr>
          <w:trHeight w:val="851" w:hRule="atLeast"/>
          <w:jc w:val="center"/>
        </w:trPr>
        <w:tc>
          <w:tcPr>
            <w:tcW w:w="1249" w:type="dxa"/>
            <w:vMerge w:val="continue"/>
          </w:tcPr>
          <w:p w14:paraId="62525CC4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28946F62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用气安全</w:t>
            </w:r>
          </w:p>
        </w:tc>
        <w:tc>
          <w:tcPr>
            <w:tcW w:w="5103" w:type="dxa"/>
            <w:vAlign w:val="center"/>
          </w:tcPr>
          <w:p w14:paraId="207D57E7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燃气阀漏气、报警装置损坏、管道标识不规范</w:t>
            </w:r>
          </w:p>
        </w:tc>
        <w:tc>
          <w:tcPr>
            <w:tcW w:w="2977" w:type="dxa"/>
            <w:vAlign w:val="center"/>
          </w:tcPr>
          <w:p w14:paraId="6677FB41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燃气阀处</w:t>
            </w:r>
          </w:p>
        </w:tc>
        <w:tc>
          <w:tcPr>
            <w:tcW w:w="4057" w:type="dxa"/>
            <w:vAlign w:val="center"/>
          </w:tcPr>
          <w:p w14:paraId="13BBE91B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建立防范报警装置，开展日常安全巡检与定期专业进场检测</w:t>
            </w:r>
          </w:p>
        </w:tc>
      </w:tr>
      <w:tr w14:paraId="2235C5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249" w:type="dxa"/>
            <w:vMerge w:val="continue"/>
          </w:tcPr>
          <w:p w14:paraId="286F063D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5D3091F7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消防安全</w:t>
            </w:r>
          </w:p>
        </w:tc>
        <w:tc>
          <w:tcPr>
            <w:tcW w:w="5103" w:type="dxa"/>
            <w:vAlign w:val="center"/>
          </w:tcPr>
          <w:p w14:paraId="66B5C090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消防设施（灭火器、室内消火栓、应急疏散照明灯）等损坏</w:t>
            </w:r>
          </w:p>
        </w:tc>
        <w:tc>
          <w:tcPr>
            <w:tcW w:w="2977" w:type="dxa"/>
            <w:vAlign w:val="center"/>
          </w:tcPr>
          <w:p w14:paraId="3D303BE6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消防设施存放处</w:t>
            </w:r>
          </w:p>
        </w:tc>
        <w:tc>
          <w:tcPr>
            <w:tcW w:w="4057" w:type="dxa"/>
            <w:vAlign w:val="center"/>
          </w:tcPr>
          <w:p w14:paraId="7D9960B3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通过规范巡查，及时发现各类消防设施问题，上报维修</w:t>
            </w:r>
          </w:p>
        </w:tc>
      </w:tr>
      <w:tr w14:paraId="1C41C3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  <w:jc w:val="center"/>
        </w:trPr>
        <w:tc>
          <w:tcPr>
            <w:tcW w:w="1249" w:type="dxa"/>
            <w:vMerge w:val="restart"/>
            <w:vAlign w:val="center"/>
          </w:tcPr>
          <w:p w14:paraId="2D12334B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宿舍</w:t>
            </w:r>
          </w:p>
          <w:p w14:paraId="668A691E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区域</w:t>
            </w:r>
          </w:p>
        </w:tc>
        <w:tc>
          <w:tcPr>
            <w:tcW w:w="1309" w:type="dxa"/>
            <w:vMerge w:val="restart"/>
            <w:vAlign w:val="center"/>
          </w:tcPr>
          <w:p w14:paraId="4485CA9A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用电安全</w:t>
            </w:r>
          </w:p>
        </w:tc>
        <w:tc>
          <w:tcPr>
            <w:tcW w:w="5103" w:type="dxa"/>
            <w:vAlign w:val="center"/>
          </w:tcPr>
          <w:p w14:paraId="6F52DD33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电控箱不锁、强行送电、接电</w:t>
            </w:r>
          </w:p>
        </w:tc>
        <w:tc>
          <w:tcPr>
            <w:tcW w:w="2977" w:type="dxa"/>
            <w:vAlign w:val="center"/>
          </w:tcPr>
          <w:p w14:paraId="68012D84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各电控处</w:t>
            </w:r>
          </w:p>
        </w:tc>
        <w:tc>
          <w:tcPr>
            <w:tcW w:w="4057" w:type="dxa"/>
            <w:vAlign w:val="center"/>
          </w:tcPr>
          <w:p w14:paraId="042523C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加锁防护，严禁违规操作</w:t>
            </w:r>
          </w:p>
        </w:tc>
      </w:tr>
      <w:tr w14:paraId="392F66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0329F632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4754C9BC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071EE37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使用大功率违章电器，负载过重，存在发热、跳闸现象</w:t>
            </w:r>
          </w:p>
        </w:tc>
        <w:tc>
          <w:tcPr>
            <w:tcW w:w="2977" w:type="dxa"/>
            <w:vAlign w:val="center"/>
          </w:tcPr>
          <w:p w14:paraId="51A389A7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各场所</w:t>
            </w:r>
          </w:p>
        </w:tc>
        <w:tc>
          <w:tcPr>
            <w:tcW w:w="4057" w:type="dxa"/>
            <w:vAlign w:val="center"/>
          </w:tcPr>
          <w:p w14:paraId="697D4863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严禁使用大功率违章电器，对电控处异常问题及时发现处置</w:t>
            </w:r>
          </w:p>
        </w:tc>
      </w:tr>
      <w:tr w14:paraId="5F17BA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  <w:jc w:val="center"/>
        </w:trPr>
        <w:tc>
          <w:tcPr>
            <w:tcW w:w="1249" w:type="dxa"/>
            <w:vMerge w:val="continue"/>
          </w:tcPr>
          <w:p w14:paraId="1BC18A61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61FE1D96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0DE07CA3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长期带电运行设备安全监管缺失</w:t>
            </w:r>
          </w:p>
        </w:tc>
        <w:tc>
          <w:tcPr>
            <w:tcW w:w="2977" w:type="dxa"/>
            <w:vAlign w:val="center"/>
          </w:tcPr>
          <w:p w14:paraId="0389B99A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楼幢顶层通信机站、服务器</w:t>
            </w:r>
          </w:p>
        </w:tc>
        <w:tc>
          <w:tcPr>
            <w:tcW w:w="4057" w:type="dxa"/>
            <w:vMerge w:val="restart"/>
            <w:vAlign w:val="center"/>
          </w:tcPr>
          <w:p w14:paraId="684462F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安全巡查、清理杂物，严禁占用通道</w:t>
            </w:r>
          </w:p>
        </w:tc>
      </w:tr>
      <w:tr w14:paraId="0A0EDD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249" w:type="dxa"/>
            <w:vMerge w:val="continue"/>
          </w:tcPr>
          <w:p w14:paraId="12337515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38B8F4BF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27242769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私拉乱接电线，使用劣质接线板</w:t>
            </w:r>
          </w:p>
        </w:tc>
        <w:tc>
          <w:tcPr>
            <w:tcW w:w="2977" w:type="dxa"/>
            <w:vAlign w:val="center"/>
          </w:tcPr>
          <w:p w14:paraId="53FAA07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各场所</w:t>
            </w:r>
          </w:p>
        </w:tc>
        <w:tc>
          <w:tcPr>
            <w:tcW w:w="4057" w:type="dxa"/>
            <w:vMerge w:val="continue"/>
            <w:vAlign w:val="center"/>
          </w:tcPr>
          <w:p w14:paraId="209A2BF5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331ED34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249" w:type="dxa"/>
            <w:vMerge w:val="continue"/>
          </w:tcPr>
          <w:p w14:paraId="078B5D91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01DA076D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750CEE3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占用疏散通道违规用电做饭</w:t>
            </w:r>
          </w:p>
        </w:tc>
        <w:tc>
          <w:tcPr>
            <w:tcW w:w="2977" w:type="dxa"/>
            <w:vAlign w:val="center"/>
          </w:tcPr>
          <w:p w14:paraId="2B643FF2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食堂四楼教工宿舍</w:t>
            </w:r>
          </w:p>
        </w:tc>
        <w:tc>
          <w:tcPr>
            <w:tcW w:w="4057" w:type="dxa"/>
            <w:vMerge w:val="continue"/>
            <w:vAlign w:val="center"/>
          </w:tcPr>
          <w:p w14:paraId="61793244">
            <w:pPr>
              <w:spacing w:line="340" w:lineRule="exact"/>
              <w:rPr>
                <w:rFonts w:ascii="仿宋_GB2312" w:eastAsia="仿宋_GB2312"/>
                <w:szCs w:val="21"/>
              </w:rPr>
            </w:pPr>
          </w:p>
        </w:tc>
      </w:tr>
      <w:tr w14:paraId="71C172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249" w:type="dxa"/>
            <w:vMerge w:val="continue"/>
          </w:tcPr>
          <w:p w14:paraId="581CE60B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46B83706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物防安全</w:t>
            </w:r>
          </w:p>
        </w:tc>
        <w:tc>
          <w:tcPr>
            <w:tcW w:w="5103" w:type="dxa"/>
            <w:vAlign w:val="center"/>
          </w:tcPr>
          <w:p w14:paraId="04F36A0A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围墙、门窗、防盗窗损坏</w:t>
            </w:r>
          </w:p>
        </w:tc>
        <w:tc>
          <w:tcPr>
            <w:tcW w:w="2977" w:type="dxa"/>
            <w:vAlign w:val="center"/>
          </w:tcPr>
          <w:p w14:paraId="659D506D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学生宿舍区</w:t>
            </w:r>
          </w:p>
        </w:tc>
        <w:tc>
          <w:tcPr>
            <w:tcW w:w="4057" w:type="dxa"/>
            <w:vAlign w:val="center"/>
          </w:tcPr>
          <w:p w14:paraId="754BC75B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及时发现修理</w:t>
            </w:r>
          </w:p>
        </w:tc>
      </w:tr>
      <w:tr w14:paraId="02F23B0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49" w:type="dxa"/>
            <w:vMerge w:val="continue"/>
          </w:tcPr>
          <w:p w14:paraId="558F3953">
            <w:pPr>
              <w:rPr>
                <w:szCs w:val="21"/>
              </w:rPr>
            </w:pPr>
          </w:p>
        </w:tc>
        <w:tc>
          <w:tcPr>
            <w:tcW w:w="1309" w:type="dxa"/>
            <w:tcBorders>
              <w:bottom w:val="single" w:color="auto" w:sz="4" w:space="0"/>
            </w:tcBorders>
            <w:vAlign w:val="center"/>
          </w:tcPr>
          <w:p w14:paraId="06A098F0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消防安全</w:t>
            </w:r>
          </w:p>
        </w:tc>
        <w:tc>
          <w:tcPr>
            <w:tcW w:w="5103" w:type="dxa"/>
            <w:tcBorders>
              <w:bottom w:val="single" w:color="auto" w:sz="4" w:space="0"/>
            </w:tcBorders>
            <w:vAlign w:val="center"/>
          </w:tcPr>
          <w:p w14:paraId="52A521CE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消防设施损坏（灭火器、室内消火栓、疏散通道灯等）</w:t>
            </w:r>
          </w:p>
        </w:tc>
        <w:tc>
          <w:tcPr>
            <w:tcW w:w="2977" w:type="dxa"/>
            <w:tcBorders>
              <w:bottom w:val="single" w:color="auto" w:sz="4" w:space="0"/>
            </w:tcBorders>
            <w:vAlign w:val="center"/>
          </w:tcPr>
          <w:p w14:paraId="1EB56A5F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各场所</w:t>
            </w:r>
          </w:p>
        </w:tc>
        <w:tc>
          <w:tcPr>
            <w:tcW w:w="4057" w:type="dxa"/>
            <w:tcBorders>
              <w:bottom w:val="single" w:color="auto" w:sz="4" w:space="0"/>
            </w:tcBorders>
            <w:vAlign w:val="center"/>
          </w:tcPr>
          <w:p w14:paraId="30A9C013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及时发现整改</w:t>
            </w:r>
          </w:p>
        </w:tc>
      </w:tr>
      <w:tr w14:paraId="36CE38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249" w:type="dxa"/>
            <w:vMerge w:val="continue"/>
          </w:tcPr>
          <w:p w14:paraId="3D25A1D8">
            <w:pPr>
              <w:rPr>
                <w:szCs w:val="21"/>
              </w:rPr>
            </w:pPr>
          </w:p>
        </w:tc>
        <w:tc>
          <w:tcPr>
            <w:tcW w:w="1309" w:type="dxa"/>
            <w:tcBorders>
              <w:top w:val="single" w:color="auto" w:sz="4" w:space="0"/>
            </w:tcBorders>
            <w:vAlign w:val="center"/>
          </w:tcPr>
          <w:p w14:paraId="48797742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涉危安全</w:t>
            </w:r>
          </w:p>
        </w:tc>
        <w:tc>
          <w:tcPr>
            <w:tcW w:w="5103" w:type="dxa"/>
            <w:tcBorders>
              <w:top w:val="single" w:color="auto" w:sz="4" w:space="0"/>
            </w:tcBorders>
            <w:vAlign w:val="center"/>
          </w:tcPr>
          <w:p w14:paraId="2CDB199C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违规存放各类涉危品、管制刀具、钝器</w:t>
            </w:r>
          </w:p>
        </w:tc>
        <w:tc>
          <w:tcPr>
            <w:tcW w:w="2977" w:type="dxa"/>
            <w:tcBorders>
              <w:top w:val="single" w:color="auto" w:sz="4" w:space="0"/>
            </w:tcBorders>
            <w:vAlign w:val="center"/>
          </w:tcPr>
          <w:p w14:paraId="1309565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各场所</w:t>
            </w:r>
          </w:p>
        </w:tc>
        <w:tc>
          <w:tcPr>
            <w:tcW w:w="4057" w:type="dxa"/>
            <w:tcBorders>
              <w:top w:val="single" w:color="auto" w:sz="4" w:space="0"/>
            </w:tcBorders>
            <w:vAlign w:val="center"/>
          </w:tcPr>
          <w:p w14:paraId="4651A8B8">
            <w:pPr>
              <w:spacing w:line="34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严禁存放</w:t>
            </w:r>
          </w:p>
        </w:tc>
      </w:tr>
      <w:tr w14:paraId="03A7187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249" w:type="dxa"/>
            <w:vMerge w:val="restart"/>
            <w:vAlign w:val="center"/>
          </w:tcPr>
          <w:p w14:paraId="143A64D0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社会化</w:t>
            </w:r>
          </w:p>
          <w:p w14:paraId="3DFE0F1F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用房</w:t>
            </w:r>
          </w:p>
          <w:p w14:paraId="628EC7CF">
            <w:pPr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ascii="黑体" w:hAnsi="黑体" w:eastAsia="黑体"/>
                <w:szCs w:val="21"/>
              </w:rPr>
              <w:t>区域</w:t>
            </w:r>
          </w:p>
        </w:tc>
        <w:tc>
          <w:tcPr>
            <w:tcW w:w="1309" w:type="dxa"/>
            <w:vMerge w:val="restart"/>
            <w:vAlign w:val="center"/>
          </w:tcPr>
          <w:p w14:paraId="2C98EC88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用电安全</w:t>
            </w:r>
          </w:p>
        </w:tc>
        <w:tc>
          <w:tcPr>
            <w:tcW w:w="5103" w:type="dxa"/>
            <w:vAlign w:val="center"/>
          </w:tcPr>
          <w:p w14:paraId="6D20C9ED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电瓶车违规室内充电</w:t>
            </w:r>
          </w:p>
        </w:tc>
        <w:tc>
          <w:tcPr>
            <w:tcW w:w="2977" w:type="dxa"/>
            <w:vAlign w:val="center"/>
          </w:tcPr>
          <w:p w14:paraId="17118881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小平房、物业用房</w:t>
            </w:r>
          </w:p>
        </w:tc>
        <w:tc>
          <w:tcPr>
            <w:tcW w:w="4057" w:type="dxa"/>
            <w:vMerge w:val="restart"/>
            <w:vAlign w:val="center"/>
          </w:tcPr>
          <w:p w14:paraId="20C67C25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严禁室内充电、违规做饭，规范排电接线</w:t>
            </w:r>
          </w:p>
        </w:tc>
      </w:tr>
      <w:tr w14:paraId="603137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49" w:type="dxa"/>
            <w:vMerge w:val="continue"/>
          </w:tcPr>
          <w:p w14:paraId="2995C38B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1C1D65A2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449C6F91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室内违规用电做饭</w:t>
            </w:r>
          </w:p>
        </w:tc>
        <w:tc>
          <w:tcPr>
            <w:tcW w:w="2977" w:type="dxa"/>
            <w:vAlign w:val="center"/>
          </w:tcPr>
          <w:p w14:paraId="5C34EBFC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物业用房</w:t>
            </w:r>
          </w:p>
        </w:tc>
        <w:tc>
          <w:tcPr>
            <w:tcW w:w="4057" w:type="dxa"/>
            <w:vMerge w:val="continue"/>
            <w:vAlign w:val="center"/>
          </w:tcPr>
          <w:p w14:paraId="5E41D798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</w:tc>
      </w:tr>
      <w:tr w14:paraId="1E07EE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1249" w:type="dxa"/>
            <w:vMerge w:val="continue"/>
          </w:tcPr>
          <w:p w14:paraId="4625001B">
            <w:pPr>
              <w:rPr>
                <w:szCs w:val="21"/>
              </w:rPr>
            </w:pPr>
          </w:p>
        </w:tc>
        <w:tc>
          <w:tcPr>
            <w:tcW w:w="1309" w:type="dxa"/>
            <w:vMerge w:val="continue"/>
            <w:vAlign w:val="center"/>
          </w:tcPr>
          <w:p w14:paraId="7482FF5F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</w:p>
        </w:tc>
        <w:tc>
          <w:tcPr>
            <w:tcW w:w="5103" w:type="dxa"/>
            <w:vAlign w:val="center"/>
          </w:tcPr>
          <w:p w14:paraId="0D555C84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接电、排线不规范</w:t>
            </w:r>
          </w:p>
        </w:tc>
        <w:tc>
          <w:tcPr>
            <w:tcW w:w="2977" w:type="dxa"/>
            <w:vAlign w:val="center"/>
          </w:tcPr>
          <w:p w14:paraId="788EA4DC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各场所</w:t>
            </w:r>
          </w:p>
        </w:tc>
        <w:tc>
          <w:tcPr>
            <w:tcW w:w="4057" w:type="dxa"/>
            <w:vMerge w:val="continue"/>
            <w:vAlign w:val="center"/>
          </w:tcPr>
          <w:p w14:paraId="2988D974">
            <w:pPr>
              <w:spacing w:line="400" w:lineRule="exact"/>
              <w:rPr>
                <w:rFonts w:ascii="仿宋_GB2312" w:eastAsia="仿宋_GB2312"/>
                <w:szCs w:val="21"/>
              </w:rPr>
            </w:pPr>
          </w:p>
        </w:tc>
      </w:tr>
      <w:tr w14:paraId="17E1AE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249" w:type="dxa"/>
            <w:vMerge w:val="continue"/>
          </w:tcPr>
          <w:p w14:paraId="572025F8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1F466F73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涉危品安全</w:t>
            </w:r>
          </w:p>
        </w:tc>
        <w:tc>
          <w:tcPr>
            <w:tcW w:w="5103" w:type="dxa"/>
            <w:vAlign w:val="center"/>
          </w:tcPr>
          <w:p w14:paraId="3D7F7BF1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未报备或违规存放汽油、柴油、油漆等涉危品</w:t>
            </w:r>
          </w:p>
        </w:tc>
        <w:tc>
          <w:tcPr>
            <w:tcW w:w="2977" w:type="dxa"/>
            <w:vAlign w:val="center"/>
          </w:tcPr>
          <w:p w14:paraId="79C4C08B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仓库、平房</w:t>
            </w:r>
          </w:p>
        </w:tc>
        <w:tc>
          <w:tcPr>
            <w:tcW w:w="4057" w:type="dxa"/>
            <w:vAlign w:val="center"/>
          </w:tcPr>
          <w:p w14:paraId="7E1BCD4A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加强巡检，严禁违规</w:t>
            </w:r>
          </w:p>
        </w:tc>
      </w:tr>
      <w:tr w14:paraId="7BF79F5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9" w:type="dxa"/>
            <w:vMerge w:val="continue"/>
          </w:tcPr>
          <w:p w14:paraId="1595F5FB">
            <w:pPr>
              <w:rPr>
                <w:szCs w:val="21"/>
              </w:rPr>
            </w:pPr>
          </w:p>
        </w:tc>
        <w:tc>
          <w:tcPr>
            <w:tcW w:w="1309" w:type="dxa"/>
            <w:vAlign w:val="center"/>
          </w:tcPr>
          <w:p w14:paraId="7994A557">
            <w:pPr>
              <w:spacing w:line="340" w:lineRule="exact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“前科”人员预警管控</w:t>
            </w:r>
          </w:p>
        </w:tc>
        <w:tc>
          <w:tcPr>
            <w:tcW w:w="5103" w:type="dxa"/>
            <w:vAlign w:val="center"/>
          </w:tcPr>
          <w:p w14:paraId="0E569A0C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防范有违法犯罪前科人员在校务工</w:t>
            </w:r>
          </w:p>
        </w:tc>
        <w:tc>
          <w:tcPr>
            <w:tcW w:w="2977" w:type="dxa"/>
            <w:vAlign w:val="center"/>
          </w:tcPr>
          <w:p w14:paraId="435FA026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社会化人员</w:t>
            </w:r>
          </w:p>
        </w:tc>
        <w:tc>
          <w:tcPr>
            <w:tcW w:w="4057" w:type="dxa"/>
            <w:vAlign w:val="center"/>
          </w:tcPr>
          <w:p w14:paraId="16160714">
            <w:pPr>
              <w:spacing w:line="40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建档、查档全覆盖</w:t>
            </w:r>
          </w:p>
        </w:tc>
      </w:tr>
    </w:tbl>
    <w:p w14:paraId="309F75DF">
      <w:pPr>
        <w:spacing w:line="560" w:lineRule="exact"/>
        <w:ind w:right="800"/>
        <w:rPr>
          <w:rFonts w:ascii="仿宋_GB2312" w:hAnsi="仿宋" w:eastAsia="仿宋_GB2312"/>
          <w:sz w:val="32"/>
          <w:szCs w:val="32"/>
        </w:rPr>
      </w:pPr>
    </w:p>
    <w:sectPr>
      <w:pgSz w:w="16838" w:h="11906" w:orient="landscape"/>
      <w:pgMar w:top="1361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990F85-B31C-476D-B44C-E0E01443DC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FEE8FBB-5DCE-4ED7-A7FC-B79572A398E2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F996842-1A12-46F9-8173-A79BB33EC55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164C400-BFF2-418E-A989-947AC346440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A6B50F2-F711-4770-B28C-5F56683B37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NmYzMDZjMmNmOTMzZmRiNmY0ZDBkZDg0OWY2N2YifQ=="/>
  </w:docVars>
  <w:rsids>
    <w:rsidRoot w:val="0058356D"/>
    <w:rsid w:val="0004166A"/>
    <w:rsid w:val="000B2F69"/>
    <w:rsid w:val="000F5A6E"/>
    <w:rsid w:val="001572D2"/>
    <w:rsid w:val="001D6C04"/>
    <w:rsid w:val="00207C29"/>
    <w:rsid w:val="00290125"/>
    <w:rsid w:val="00291D70"/>
    <w:rsid w:val="002A1343"/>
    <w:rsid w:val="002F5112"/>
    <w:rsid w:val="0034398A"/>
    <w:rsid w:val="003A3F18"/>
    <w:rsid w:val="003E2D0C"/>
    <w:rsid w:val="003F45BB"/>
    <w:rsid w:val="00414000"/>
    <w:rsid w:val="00424214"/>
    <w:rsid w:val="00467F9D"/>
    <w:rsid w:val="00495571"/>
    <w:rsid w:val="004D47AE"/>
    <w:rsid w:val="004E371B"/>
    <w:rsid w:val="0058356D"/>
    <w:rsid w:val="00583CD2"/>
    <w:rsid w:val="00592372"/>
    <w:rsid w:val="005B3912"/>
    <w:rsid w:val="00647F60"/>
    <w:rsid w:val="006A3699"/>
    <w:rsid w:val="006B123E"/>
    <w:rsid w:val="00707591"/>
    <w:rsid w:val="00716A1F"/>
    <w:rsid w:val="00736DF9"/>
    <w:rsid w:val="00785960"/>
    <w:rsid w:val="007A2AA0"/>
    <w:rsid w:val="007E0F5E"/>
    <w:rsid w:val="007E4379"/>
    <w:rsid w:val="008934A4"/>
    <w:rsid w:val="008D4A0A"/>
    <w:rsid w:val="008F1C6D"/>
    <w:rsid w:val="009060E1"/>
    <w:rsid w:val="00933D81"/>
    <w:rsid w:val="009545D5"/>
    <w:rsid w:val="00995C71"/>
    <w:rsid w:val="00A34158"/>
    <w:rsid w:val="00A63F84"/>
    <w:rsid w:val="00A75822"/>
    <w:rsid w:val="00A76DE6"/>
    <w:rsid w:val="00B47811"/>
    <w:rsid w:val="00B50DA4"/>
    <w:rsid w:val="00B81BD1"/>
    <w:rsid w:val="00BA56B0"/>
    <w:rsid w:val="00BE0A1A"/>
    <w:rsid w:val="00C60034"/>
    <w:rsid w:val="00C80334"/>
    <w:rsid w:val="00C87CC3"/>
    <w:rsid w:val="00CC3858"/>
    <w:rsid w:val="00DA4EE3"/>
    <w:rsid w:val="00DF0325"/>
    <w:rsid w:val="00E732AA"/>
    <w:rsid w:val="00E8523C"/>
    <w:rsid w:val="00F033C0"/>
    <w:rsid w:val="00F957A5"/>
    <w:rsid w:val="00FB5474"/>
    <w:rsid w:val="00FE6E98"/>
    <w:rsid w:val="020D5FFB"/>
    <w:rsid w:val="121A573D"/>
    <w:rsid w:val="130B1D13"/>
    <w:rsid w:val="1AC63078"/>
    <w:rsid w:val="53BA7ACD"/>
    <w:rsid w:val="7D874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日期 Char"/>
    <w:basedOn w:val="7"/>
    <w:link w:val="2"/>
    <w:semiHidden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1352</Words>
  <Characters>1361</Characters>
  <Lines>15</Lines>
  <Paragraphs>4</Paragraphs>
  <TotalTime>135</TotalTime>
  <ScaleCrop>false</ScaleCrop>
  <LinksUpToDate>false</LinksUpToDate>
  <CharactersWithSpaces>1361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2021-06-01T12:36:00Z</dcterms:created>
  <dc:creator>Administrator</dc:creator>
  <cp:lastModifiedBy>赵</cp:lastModifiedBy>
  <dcterms:modified xsi:type="dcterms:W3CDTF">2026-09-21T01:08:00Z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1A5B146D56604B609BCDD46639B8D431_13</vt:lpwstr>
  </property>
  <property fmtid="{D5CDD505-2E9C-101B-9397-08002B2CF9AE}" pid="4" name="KSOTemplateDocerSaveRecord">
    <vt:lpwstr>eyJoZGlkIjoiYzIzNjhjZjkxMjg2OGJjOTQ0NThhNzBhOGI4YTVmYWYiLCJ1c2VySWQiOiIxMzQwMjcxMDM0In0=</vt:lpwstr>
  </property>
</Properties>
</file>